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38" w:rsidRPr="00C92EA0" w:rsidRDefault="00845CFA">
      <w:pPr>
        <w:ind w:left="-540"/>
        <w:rPr>
          <w:rFonts w:ascii="Verdana" w:hAnsi="Verdana"/>
          <w:b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-342900</wp:posOffset>
            </wp:positionV>
            <wp:extent cx="876300" cy="1190625"/>
            <wp:effectExtent l="19050" t="0" r="0" b="0"/>
            <wp:wrapSquare wrapText="bothSides"/>
            <wp:docPr id="64" name="Рисунок 64" descr="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AP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F38" w:rsidRPr="00C92EA0">
        <w:rPr>
          <w:rFonts w:ascii="Verdana" w:hAnsi="Verdana"/>
          <w:b/>
          <w:color w:val="FF0000"/>
          <w:sz w:val="36"/>
          <w:szCs w:val="36"/>
          <w:lang w:val="en-US"/>
        </w:rPr>
        <w:t>Advanced</w:t>
      </w:r>
      <w:r w:rsidR="00DD1F38" w:rsidRPr="00C92EA0">
        <w:rPr>
          <w:rFonts w:ascii="Verdana" w:hAnsi="Verdana"/>
          <w:b/>
          <w:color w:val="FF0000"/>
          <w:sz w:val="36"/>
          <w:szCs w:val="36"/>
        </w:rPr>
        <w:t xml:space="preserve"> </w:t>
      </w:r>
      <w:r w:rsidR="00DD1F38">
        <w:rPr>
          <w:rFonts w:ascii="Verdana" w:hAnsi="Verdana"/>
          <w:b/>
          <w:color w:val="FF0000"/>
          <w:sz w:val="36"/>
          <w:szCs w:val="36"/>
          <w:lang w:val="en-US"/>
        </w:rPr>
        <w:t>P</w:t>
      </w:r>
      <w:r w:rsidR="00DD1F38" w:rsidRPr="00C92EA0">
        <w:rPr>
          <w:rFonts w:ascii="Verdana" w:hAnsi="Verdana"/>
          <w:b/>
          <w:color w:val="FF0000"/>
          <w:sz w:val="36"/>
          <w:szCs w:val="36"/>
          <w:lang w:val="en-US"/>
        </w:rPr>
        <w:t>sychology</w:t>
      </w:r>
      <w:r w:rsidR="00DD1F38" w:rsidRPr="00C92EA0">
        <w:rPr>
          <w:rFonts w:ascii="Verdana" w:hAnsi="Verdana"/>
          <w:b/>
          <w:color w:val="FF0000"/>
          <w:sz w:val="36"/>
          <w:szCs w:val="36"/>
        </w:rPr>
        <w:t xml:space="preserve"> </w:t>
      </w:r>
      <w:r w:rsidR="00DD1F38" w:rsidRPr="00C92EA0">
        <w:rPr>
          <w:rFonts w:ascii="Verdana" w:hAnsi="Verdana"/>
          <w:b/>
          <w:color w:val="FF0000"/>
          <w:sz w:val="36"/>
          <w:szCs w:val="36"/>
          <w:lang w:val="en-US"/>
        </w:rPr>
        <w:t>for</w:t>
      </w:r>
      <w:r w:rsidR="00DD1F38" w:rsidRPr="00C92EA0">
        <w:rPr>
          <w:rFonts w:ascii="Verdana" w:hAnsi="Verdana"/>
          <w:b/>
          <w:color w:val="FF0000"/>
          <w:sz w:val="36"/>
          <w:szCs w:val="36"/>
        </w:rPr>
        <w:t xml:space="preserve"> </w:t>
      </w:r>
      <w:r w:rsidR="00DD1F38">
        <w:rPr>
          <w:rFonts w:ascii="Verdana" w:hAnsi="Verdana"/>
          <w:b/>
          <w:color w:val="FF0000"/>
          <w:sz w:val="36"/>
          <w:szCs w:val="36"/>
          <w:lang w:val="en-US"/>
        </w:rPr>
        <w:t>A</w:t>
      </w:r>
      <w:r w:rsidR="00DD1F38" w:rsidRPr="00C92EA0">
        <w:rPr>
          <w:rFonts w:ascii="Verdana" w:hAnsi="Verdana"/>
          <w:b/>
          <w:color w:val="FF0000"/>
          <w:sz w:val="36"/>
          <w:szCs w:val="36"/>
          <w:lang w:val="en-US"/>
        </w:rPr>
        <w:t>dults</w:t>
      </w:r>
    </w:p>
    <w:p w:rsidR="00DD1F38" w:rsidRDefault="00DD1F38">
      <w:pPr>
        <w:ind w:left="-540"/>
        <w:rPr>
          <w:rFonts w:ascii="Verdana" w:hAnsi="Verdana"/>
          <w:b/>
        </w:rPr>
      </w:pPr>
      <w:r w:rsidRPr="00C92EA0">
        <w:rPr>
          <w:rFonts w:ascii="Verdana" w:hAnsi="Verdana"/>
          <w:b/>
        </w:rPr>
        <w:t>Продвинутая психология для совершеннолетних</w:t>
      </w:r>
    </w:p>
    <w:p w:rsidR="00DD1F38" w:rsidRDefault="00DD1F38">
      <w:pPr>
        <w:ind w:left="-540"/>
        <w:rPr>
          <w:rFonts w:ascii="Verdana" w:hAnsi="Verdana"/>
          <w:b/>
        </w:rPr>
      </w:pPr>
    </w:p>
    <w:p w:rsidR="00DD1F38" w:rsidRPr="00FA18FB" w:rsidRDefault="00DD1F38">
      <w:pPr>
        <w:ind w:left="-540"/>
        <w:rPr>
          <w:rFonts w:ascii="Verdana" w:hAnsi="Verdana" w:cs="Verdana"/>
          <w:b/>
          <w:bCs/>
          <w:color w:val="000080"/>
          <w:sz w:val="26"/>
          <w:szCs w:val="26"/>
          <w:lang w:val="en-US"/>
        </w:rPr>
      </w:pPr>
      <w:r>
        <w:rPr>
          <w:rFonts w:ascii="Verdana" w:hAnsi="Verdana" w:cs="Verdana"/>
          <w:b/>
          <w:bCs/>
          <w:sz w:val="26"/>
          <w:szCs w:val="26"/>
        </w:rPr>
        <w:t xml:space="preserve">Вит Ценёв, </w:t>
      </w:r>
      <w:hyperlink r:id="rId6" w:history="1">
        <w:r>
          <w:rPr>
            <w:rStyle w:val="a4"/>
            <w:rFonts w:ascii="Verdana" w:hAnsi="Verdana" w:cs="Verdana"/>
            <w:sz w:val="26"/>
            <w:szCs w:val="26"/>
            <w:lang w:val="en-US"/>
          </w:rPr>
          <w:t>Psyberia</w:t>
        </w:r>
        <w:r>
          <w:rPr>
            <w:rStyle w:val="a4"/>
            <w:rFonts w:ascii="Verdana" w:hAnsi="Verdana" w:cs="Verdana"/>
            <w:sz w:val="26"/>
            <w:szCs w:val="26"/>
          </w:rPr>
          <w:t>.</w:t>
        </w:r>
        <w:r>
          <w:rPr>
            <w:rStyle w:val="a4"/>
            <w:rFonts w:ascii="Verdana" w:hAnsi="Verdana" w:cs="Verdana"/>
            <w:sz w:val="26"/>
            <w:szCs w:val="26"/>
            <w:lang w:val="en-US"/>
          </w:rPr>
          <w:t>ru</w:t>
        </w:r>
      </w:hyperlink>
    </w:p>
    <w:p w:rsidR="00DD1F38" w:rsidRDefault="00DD1F38">
      <w:pPr>
        <w:ind w:left="-540"/>
        <w:rPr>
          <w:rFonts w:ascii="Verdana" w:hAnsi="Verdana"/>
          <w:color w:val="003366"/>
          <w:sz w:val="20"/>
          <w:szCs w:val="20"/>
        </w:rPr>
      </w:pPr>
    </w:p>
    <w:p w:rsidR="00DD1F38" w:rsidRDefault="00DD1F38">
      <w:pPr>
        <w:rPr>
          <w:rFonts w:ascii="Verdana" w:hAnsi="Verdana"/>
          <w:b/>
          <w:sz w:val="32"/>
          <w:szCs w:val="32"/>
        </w:rPr>
      </w:pPr>
      <w:r>
        <w:rPr>
          <w:b/>
          <w:noProof/>
          <w:sz w:val="36"/>
          <w:szCs w:val="36"/>
        </w:rPr>
        <w:pict>
          <v:line id="_x0000_s1173" style="position:absolute;z-index:251657216" from="-27pt,2pt" to="477pt,2pt"/>
        </w:pict>
      </w:r>
    </w:p>
    <w:p w:rsidR="00DD1F38" w:rsidRDefault="00845CFA">
      <w:pPr>
        <w:ind w:left="708"/>
        <w:rPr>
          <w:rFonts w:ascii="Verdana" w:hAnsi="Verdana"/>
          <w:b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-104775</wp:posOffset>
            </wp:positionH>
            <wp:positionV relativeFrom="paragraph">
              <wp:posOffset>9525</wp:posOffset>
            </wp:positionV>
            <wp:extent cx="1038225" cy="1038225"/>
            <wp:effectExtent l="19050" t="0" r="0" b="0"/>
            <wp:wrapSquare wrapText="bothSides"/>
            <wp:docPr id="178" name="Рисунок 178" descr="Prav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Pravd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F38">
        <w:rPr>
          <w:rFonts w:ascii="Verdana" w:hAnsi="Verdana"/>
          <w:b/>
          <w:sz w:val="36"/>
          <w:szCs w:val="36"/>
        </w:rPr>
        <w:t>Внимание, интерес, желание и … бездействие! Почему?</w:t>
      </w:r>
    </w:p>
    <w:p w:rsidR="00DD1F38" w:rsidRDefault="00DD1F38">
      <w:pPr>
        <w:pStyle w:val="a3"/>
        <w:ind w:left="-5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когнитивном диссонансе и консонансе в рекламе</w:t>
      </w:r>
    </w:p>
    <w:p w:rsidR="00DD1F38" w:rsidRDefault="00DD1F38">
      <w:pPr>
        <w:pStyle w:val="a3"/>
        <w:ind w:left="-540"/>
        <w:rPr>
          <w:b/>
          <w:bCs/>
        </w:rPr>
      </w:pPr>
      <w:r>
        <w:rPr>
          <w:b/>
          <w:bCs/>
          <w:noProof/>
        </w:rPr>
        <w:pict>
          <v:line id="_x0000_s1205" style="position:absolute;left:0;text-align:left;z-index:251659264" from="-27pt,19.8pt" to="90pt,19.8pt"/>
        </w:pict>
      </w:r>
      <w:r>
        <w:rPr>
          <w:b/>
          <w:bCs/>
          <w:noProof/>
        </w:rPr>
        <w:t xml:space="preserve"> Партизанская </w:t>
      </w:r>
      <w:r>
        <w:rPr>
          <w:b/>
          <w:bCs/>
          <w:noProof/>
          <w:lang w:val="en-US"/>
        </w:rPr>
        <w:t>PR</w:t>
      </w:r>
      <w:r>
        <w:rPr>
          <w:b/>
          <w:bCs/>
          <w:noProof/>
        </w:rPr>
        <w:t>авда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Познакомьтесь с Васей. Вася – простой парень, и ваш потенциальный клиент. Посмотрите на Васю, и риторически спросите у себя, почему он сидит за рулем старенькой «копейки», а не новенького «бумера»? Почему?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 вот Маруся, «простая советская баба», и ваш потенциальный клиент. Посмотрите на неё, и задайтесь вопросом: почему она носит кроличью шубу, а не норковую? Почему?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Я полагаю, ответ очевиден: потому что Вася не может себе позволить «бумера», а Маруся не может позволить себе норковую шубу.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Очень хорошо. Но позвольте мне сформулировать вопрос иначе: снова посмотрите на Васю, и подумайте, </w:t>
      </w:r>
      <w:r>
        <w:rPr>
          <w:rFonts w:ascii="Verdana" w:hAnsi="Verdana"/>
          <w:i/>
          <w:sz w:val="20"/>
          <w:szCs w:val="20"/>
        </w:rPr>
        <w:t>хочет</w:t>
      </w:r>
      <w:r>
        <w:rPr>
          <w:rFonts w:ascii="Verdana" w:hAnsi="Verdana"/>
          <w:sz w:val="20"/>
          <w:szCs w:val="20"/>
        </w:rPr>
        <w:t xml:space="preserve"> ли Вася сидеть за рулем новенького «бумера»? Или Маруся? Примерьте, хочется ли ей покрасоваться в норковой шубке?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Конечно, хочется! И Васе «бумер», и Марусе норковую шубу. Так хочется, что скулы сводит и дыхание перехватывает. Хочется, очень хочется, вы согласны?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Если согласны, ответьте на последний вопрос: какой смысл делать такую рекламу, которая пытается заставить потребителя </w:t>
      </w:r>
      <w:r>
        <w:rPr>
          <w:rFonts w:ascii="Verdana" w:hAnsi="Verdana"/>
          <w:i/>
          <w:sz w:val="20"/>
          <w:szCs w:val="20"/>
        </w:rPr>
        <w:t>хотеть</w:t>
      </w:r>
      <w:r>
        <w:rPr>
          <w:rFonts w:ascii="Verdana" w:hAnsi="Verdana"/>
          <w:sz w:val="20"/>
          <w:szCs w:val="20"/>
        </w:rPr>
        <w:t xml:space="preserve"> покупать? Ведь он и так этого хочет.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Согласитесь, бессмысленно говорить человеку о том, что ваша шоколадка сладкая, он и так это знает. Возможно, человек спит и видит, как он кушает вашу шоколадку. Но не покупает, потому что «сидит на диете».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Да, конечно, вы можете говорить и говорить ему, что шоколадка вкусная, «ням-ням», и это иногда помогает. Но если вы скажете ему, что «к черту диету», это будет намного вернее.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Потому что «ням-ням» в рекламе не помогает разрешить внутренний конфликт между «хочу» и «не могу себе этого позволить». Чтобы потребитель решился на «ням-ням», у него должно исчезнуть противоречие в его представлениях о желаемом (я хочу) и возможном (я не могу). В психологии это противоречие называется </w:t>
      </w:r>
      <w:r>
        <w:rPr>
          <w:rFonts w:ascii="Verdana" w:hAnsi="Verdana"/>
          <w:i/>
          <w:sz w:val="20"/>
          <w:szCs w:val="20"/>
        </w:rPr>
        <w:t>когнитивным диссонансом</w:t>
      </w:r>
      <w:r>
        <w:rPr>
          <w:rFonts w:ascii="Verdana" w:hAnsi="Verdana"/>
          <w:sz w:val="20"/>
          <w:szCs w:val="20"/>
        </w:rPr>
        <w:t xml:space="preserve">. 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Когнитивный диссонанс</w:t>
      </w:r>
    </w:p>
    <w:p w:rsidR="00DD1F38" w:rsidRDefault="00DD1F38">
      <w:pPr>
        <w:ind w:left="-540"/>
        <w:rPr>
          <w:rFonts w:ascii="Verdana" w:hAnsi="Verdana"/>
          <w:b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Теория «когнитивного диссонанса»</w:t>
      </w:r>
      <w:r>
        <w:rPr>
          <w:rFonts w:ascii="Verdana" w:hAnsi="Verdana"/>
          <w:sz w:val="20"/>
          <w:szCs w:val="20"/>
        </w:rPr>
        <w:t xml:space="preserve"> была предложена американским психологом Леоном Фестингером ещё в 1957 году. На примере рекламы это означает примерно следующее: если потребитель хочет купить товар, но «не может себе этого позволить» (сидит на диете, как в случае с шоколадкой), то у него возникает внутренний конфликт, который мотивирует его к поиску решения, способного устранить противоречие между когнициями «я хочу» и «не могу этого позволить».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Чтобы редуцировать (то есть, уменьшить) конфликт, потребитель стремится найти какое-то </w:t>
      </w:r>
      <w:r>
        <w:rPr>
          <w:rFonts w:ascii="Verdana" w:hAnsi="Verdana"/>
          <w:i/>
          <w:sz w:val="20"/>
          <w:szCs w:val="20"/>
        </w:rPr>
        <w:t>оправдание</w:t>
      </w:r>
      <w:r>
        <w:rPr>
          <w:rFonts w:ascii="Verdana" w:hAnsi="Verdana"/>
          <w:sz w:val="20"/>
          <w:szCs w:val="20"/>
        </w:rPr>
        <w:t xml:space="preserve"> своему «хочу», или, соответственно, объяснение, почему «я не могу себе этого позволить».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Например, чтобы «разрешить» себе шоколадку, потребитель должен найти дополнительные доказательства в пользу немедленного поедания шоколада, и вопреки своей великой теории о похудении: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Шоколад необходим для умственной деятельности;</w:t>
      </w: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Шоколад хорошо помогает справиться со стрессом;</w:t>
      </w: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Шоколад содержит полезные протеины, глюцины и клетчатку;</w:t>
      </w: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Генри Киссинджер, госсекретарь США, очень любит шоколад;</w:t>
      </w: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Скушаю шоколадку, а с завтрашнего дня начну новую жизнь.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 если потребитель делает выбор в пользу «я не могу себе позволить шоколадку», он может редуцировать внутренний конфликт следующими утверждениями: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От шоколада полнеешь;</w:t>
      </w: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Шоколад очень вреден для зубов;</w:t>
      </w: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Лучше я куплю килограмм картошки.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Важно понимать, что потребитель не может просто так взять и купить шоколадку, равно как и не может пройти мимо неё.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Прежде этого он должен ослабить или свести на нет своё «буриданово» противоречие между «хочу» и «не могу себе позволить». Помните басню Крылова «Лиса и виноград»?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Именно так поступает потребитель, чтобы убедить себя в том («зелен виноград»), почему он купил не дорогой товар (который ему хочется), а дешевый (который ему можется):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«Всё равно из одной бочки наливают» (парфюмерия);</w:t>
      </w: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Дорогие препараты чаще всего поддельные (лекарства);</w:t>
      </w: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Качество «пиратского» диска такое же хорошее (фильмы);</w:t>
      </w:r>
    </w:p>
    <w:p w:rsidR="00DD1F38" w:rsidRDefault="00DD1F38">
      <w:pPr>
        <w:numPr>
          <w:ilvl w:val="0"/>
          <w:numId w:val="11"/>
        </w:numPr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Это только на бирке Франция, а на самом деле Китай (одежда).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Замечательным примером когнитивного диссонанса является спор Коли и Лизы о вреде мяса в романе Ильфа и Петрова «Двенадцать стульев». Перечитайте на досуге. 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Согласно теории Фестингера (и его многочисленных последователей), человек стремится к устранению внутреннего конфликта либо с помощью добавления новых знаний (усилив тем самым одну из сторон своего конфликта), либо изменив свои знания таким образом, чтобы противоречие между когнитивными элементами ослабло или исчезло. 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Например, басня «Лиса и виноград». Чтобы редуцировать противоречие между «хочу» и «не могу», лиса убеждает себя в том, что виноград «зелен»: а, следовательно, у неё нет никакой необходимости пытаться его получить. 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Таким образом, вместо болезненного когнитивного противоречия («я хочу, но не могу») лиса обретает когнитивное равновесие («я могу, но не хочу») и внутренний конфликт исчезает. В психологии такое «созвучие» когнитивных элементов называется </w:t>
      </w:r>
      <w:r>
        <w:rPr>
          <w:rFonts w:ascii="Verdana" w:hAnsi="Verdana"/>
          <w:i/>
          <w:sz w:val="20"/>
          <w:szCs w:val="20"/>
        </w:rPr>
        <w:t>когнитивным консонансом</w:t>
      </w:r>
      <w:r>
        <w:rPr>
          <w:rFonts w:ascii="Verdana" w:hAnsi="Verdana"/>
          <w:sz w:val="20"/>
          <w:szCs w:val="20"/>
        </w:rPr>
        <w:t>.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Когнитивный диссонанс и консонанс в рекламе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Современный потребитель всегда хочет больше – </w:t>
      </w:r>
      <w:r>
        <w:rPr>
          <w:rFonts w:ascii="Verdana" w:hAnsi="Verdana"/>
          <w:b/>
          <w:sz w:val="20"/>
          <w:szCs w:val="20"/>
        </w:rPr>
        <w:t>и намного больше!</w:t>
      </w:r>
      <w:r>
        <w:rPr>
          <w:rFonts w:ascii="Verdana" w:hAnsi="Verdana"/>
          <w:sz w:val="20"/>
          <w:szCs w:val="20"/>
        </w:rPr>
        <w:t xml:space="preserve"> – чем он может себе позволить.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Основной конфликт разворачивается между его когнициями «хочу» (в романе «Двенадцать стульев» это Лиза, которая желает мяса) и «я не могу» (Лизин муж Коля, который понимает, что мясные блюда совершенно невозможны для семейного бюджета).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Теперь вам известно, что в такого рода конфликтах потребитель стремится или найти новые знания, или же изменить существующие, чтобы редуцировать когнитивный диссонанс. 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Таким образом, реклама должна стремиться к редуцированию когниции «не могу», не только ослабляя тем самым основное потребительское противоречие («я хочу, но не могу себе этого позволить»), но и автоматически усиливая когницию «я хочу». 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Иначе говоря, не нужно пытаться заставить потребителя хотеть, а нужно убеждать его в том, что он </w:t>
      </w:r>
      <w:r>
        <w:rPr>
          <w:rFonts w:ascii="Verdana" w:hAnsi="Verdana"/>
          <w:i/>
          <w:sz w:val="20"/>
          <w:szCs w:val="20"/>
        </w:rPr>
        <w:t>может</w:t>
      </w:r>
      <w:r>
        <w:rPr>
          <w:rFonts w:ascii="Verdana" w:hAnsi="Verdana"/>
          <w:sz w:val="20"/>
          <w:szCs w:val="20"/>
        </w:rPr>
        <w:t xml:space="preserve"> или </w:t>
      </w:r>
      <w:r>
        <w:rPr>
          <w:rFonts w:ascii="Verdana" w:hAnsi="Verdana"/>
          <w:i/>
          <w:sz w:val="20"/>
          <w:szCs w:val="20"/>
        </w:rPr>
        <w:t>должен</w:t>
      </w:r>
      <w:r>
        <w:rPr>
          <w:rFonts w:ascii="Verdana" w:hAnsi="Verdana"/>
          <w:sz w:val="20"/>
          <w:szCs w:val="20"/>
        </w:rPr>
        <w:t xml:space="preserve"> себе это позволить. 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Согласитесь, нет никакого смысла убеждать вас в том, что вы хотите машину. Ведь это и ежу понятно, что хотите. Это дорого? Непосильно?! Не можете себе этого позволить? Кто вам это сказал? Почему не можете? Можете!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Купи себе квартиру в ипотеку, сдай её в найм (мы поможем)</w:t>
      </w:r>
    </w:p>
    <w:p w:rsidR="00DD1F38" w:rsidRDefault="00DD1F3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и спокойно расплачивайся за кредит – чужими деньгами!</w:t>
      </w:r>
    </w:p>
    <w:p w:rsidR="00DD1F38" w:rsidRDefault="00DD1F38">
      <w:pPr>
        <w:jc w:val="center"/>
        <w:rPr>
          <w:rFonts w:ascii="Verdana" w:hAnsi="Verdana"/>
          <w:b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Или наша «двенадцатистульевая» Лиза могла сказать мужу, что у неё – появились клиенты, которые сделали ей несколько заказов на пошив одежды. Разумеется, это неправда. Но кто скажет, что реклама говорит правду (правду и только правду), пусть первый бросит в меня камень.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Задача рекламы – найти консонансную когницию (оправдание) для желания потребителя (я хочу) и максимально редуцировать диссонансную когницию (но не могу этого позволить).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Например, в случае, когда человек хочет курить, но пытается бросить, ему можно привести в пример Уинстона Черчилля, который всю жизнь курил сигары, и при этом прожил почти 90 лет.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Или можете процитировать (приписываемое Черчиллю) изречение, что если вы хотите жить долго и счастливо, то «нужно пить, курить и подтираться медицинскими анализами».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Я не уверен точно, говорил ли это сэр Черчилль на самом деле или нет, но для разрешения внутреннего конфликта это не имеет ровным счётом никакого значения.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Человек – </w:t>
      </w:r>
      <w:r>
        <w:rPr>
          <w:rFonts w:ascii="Verdana" w:hAnsi="Verdana"/>
          <w:i/>
          <w:sz w:val="20"/>
          <w:szCs w:val="20"/>
        </w:rPr>
        <w:t>хочет</w:t>
      </w:r>
      <w:r>
        <w:rPr>
          <w:rFonts w:ascii="Verdana" w:hAnsi="Verdana"/>
          <w:sz w:val="20"/>
          <w:szCs w:val="20"/>
        </w:rPr>
        <w:t xml:space="preserve"> курить, и для того, чтобы «разрешить» себе, наконец, это сделать, ему не правда нужна, а оправдание.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Иначе говоря, доказательство, что он может это сделать (я курю только лёгкие сигареты, в них меньше никотина), он должен это сделать (у меня стресс) или его отказ от сигареты не имеет никакого смысла (Черчилль всю жизнь курил, и ничего страшного).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 равно и во многих других случаях: например, позволить себе сладкое (а завтра я начинаю новую жизнь), или сделать ещё одну (самую последнюю) ставку в казино, или что-то купить (потому что совершенно нечего носить).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По большому счету, любой когнитивный диссонанс в рекламной коммуникации редуцируется ответом на вопрос: «Почему?»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Почему вы должны застраховать свой автомобиль именно в «Росгосстрахе»? А </w:t>
      </w:r>
      <w:r>
        <w:rPr>
          <w:rFonts w:ascii="Verdana" w:hAnsi="Verdana"/>
          <w:i/>
          <w:sz w:val="20"/>
          <w:szCs w:val="20"/>
        </w:rPr>
        <w:t>потому что</w:t>
      </w:r>
      <w:r>
        <w:rPr>
          <w:rFonts w:ascii="Verdana" w:hAnsi="Verdana"/>
          <w:sz w:val="20"/>
          <w:szCs w:val="20"/>
        </w:rPr>
        <w:t xml:space="preserve"> в одном месте в два раза дороже, в другом месте «подозрительно дешёво», и, следовательно, «Росгосстрах».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И чем убедительнее ответ на вопрос «почему», тем больше вероятность, что реклама будет эффективной. 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– А это не вредно для волос?</w:t>
      </w:r>
    </w:p>
    <w:p w:rsidR="00DD1F38" w:rsidRDefault="00DD1F38">
      <w:pPr>
        <w:ind w:left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– Что вы, ведь она содержит натуральное масло оливии!</w:t>
      </w:r>
    </w:p>
    <w:p w:rsidR="00DD1F38" w:rsidRDefault="00DD1F38">
      <w:pPr>
        <w:ind w:left="708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Рекламисты обычно полагают, что если вызвать в человеке достаточно сильное </w:t>
      </w:r>
      <w:r>
        <w:rPr>
          <w:rFonts w:ascii="Verdana" w:hAnsi="Verdana"/>
          <w:i/>
          <w:sz w:val="20"/>
          <w:szCs w:val="20"/>
        </w:rPr>
        <w:t>желание</w:t>
      </w:r>
      <w:r>
        <w:rPr>
          <w:rFonts w:ascii="Verdana" w:hAnsi="Verdana"/>
          <w:sz w:val="20"/>
          <w:szCs w:val="20"/>
        </w:rPr>
        <w:t xml:space="preserve">, то он непременно купит предлагаемый товар.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Возможно, что это убеждение строится на формуле </w:t>
      </w:r>
      <w:r>
        <w:rPr>
          <w:rFonts w:ascii="Verdana" w:hAnsi="Verdana"/>
          <w:sz w:val="20"/>
          <w:szCs w:val="20"/>
          <w:lang w:val="en-US"/>
        </w:rPr>
        <w:t>AIDA</w:t>
      </w:r>
      <w:r>
        <w:rPr>
          <w:rFonts w:ascii="Verdana" w:hAnsi="Verdana"/>
          <w:sz w:val="20"/>
          <w:szCs w:val="20"/>
        </w:rPr>
        <w:t>, где за желанием (</w:t>
      </w:r>
      <w:r>
        <w:rPr>
          <w:rFonts w:ascii="Verdana" w:hAnsi="Verdana"/>
          <w:sz w:val="20"/>
          <w:szCs w:val="20"/>
          <w:lang w:val="en-US"/>
        </w:rPr>
        <w:t>Desire</w:t>
      </w:r>
      <w:r>
        <w:rPr>
          <w:rFonts w:ascii="Verdana" w:hAnsi="Verdana"/>
          <w:sz w:val="20"/>
          <w:szCs w:val="20"/>
        </w:rPr>
        <w:t>), если оно сформировано, непременно следует действие (</w:t>
      </w:r>
      <w:r>
        <w:rPr>
          <w:rFonts w:ascii="Verdana" w:hAnsi="Verdana"/>
          <w:sz w:val="20"/>
          <w:szCs w:val="20"/>
          <w:lang w:val="en-US"/>
        </w:rPr>
        <w:t>Action</w:t>
      </w:r>
      <w:r>
        <w:rPr>
          <w:rFonts w:ascii="Verdana" w:hAnsi="Verdana"/>
          <w:sz w:val="20"/>
          <w:szCs w:val="20"/>
        </w:rPr>
        <w:t xml:space="preserve">).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Но в действительности наше желание, наше «хочу» неизбежно сталкивается с диссонансной когницией «не могу» (для меня это дорого, это непозволительная трата, и так далее). И чем выше «цена вопроса», тем острее протекает внутренний конфликт, и тем сильнее мотивация для его скорейшего разрешения. 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 учетом вышеизложенного, позвольте мне предложить вашему вниманию видоизмененный вариант классической формулы </w:t>
      </w:r>
      <w:r>
        <w:rPr>
          <w:rFonts w:ascii="Verdana" w:hAnsi="Verdana"/>
          <w:sz w:val="20"/>
          <w:szCs w:val="20"/>
          <w:lang w:val="en-US"/>
        </w:rPr>
        <w:t>AIDA</w:t>
      </w:r>
      <w:r>
        <w:rPr>
          <w:rFonts w:ascii="Verdana" w:hAnsi="Verdana"/>
          <w:sz w:val="20"/>
          <w:szCs w:val="20"/>
        </w:rPr>
        <w:t>: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7"/>
        <w:gridCol w:w="3601"/>
      </w:tblGrid>
      <w:tr w:rsidR="00DD1F38" w:rsidRPr="00DD1F38" w:rsidTr="00DD1F38">
        <w:trPr>
          <w:trHeight w:val="267"/>
          <w:jc w:val="center"/>
        </w:trPr>
        <w:tc>
          <w:tcPr>
            <w:tcW w:w="7018" w:type="dxa"/>
            <w:gridSpan w:val="2"/>
          </w:tcPr>
          <w:p w:rsidR="00DD1F38" w:rsidRPr="00DD1F38" w:rsidRDefault="00DD1F38" w:rsidP="00DD1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D1F38">
              <w:rPr>
                <w:rFonts w:ascii="Verdana" w:hAnsi="Verdana"/>
                <w:b/>
                <w:sz w:val="20"/>
                <w:szCs w:val="20"/>
              </w:rPr>
              <w:t xml:space="preserve">Attention </w:t>
            </w:r>
            <w:r w:rsidRPr="00DD1F38">
              <w:rPr>
                <w:rFonts w:ascii="Verdana" w:hAnsi="Verdana"/>
                <w:sz w:val="20"/>
                <w:szCs w:val="20"/>
              </w:rPr>
              <w:t>(внимание)</w:t>
            </w:r>
          </w:p>
        </w:tc>
      </w:tr>
      <w:tr w:rsidR="00DD1F38" w:rsidRPr="00DD1F38" w:rsidTr="00DD1F38">
        <w:trPr>
          <w:trHeight w:val="267"/>
          <w:jc w:val="center"/>
        </w:trPr>
        <w:tc>
          <w:tcPr>
            <w:tcW w:w="7018" w:type="dxa"/>
            <w:gridSpan w:val="2"/>
          </w:tcPr>
          <w:p w:rsidR="00DD1F38" w:rsidRPr="00DD1F38" w:rsidRDefault="00DD1F38" w:rsidP="00DD1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D1F38">
              <w:rPr>
                <w:rFonts w:ascii="Verdana" w:hAnsi="Verdana"/>
                <w:b/>
                <w:sz w:val="20"/>
                <w:szCs w:val="20"/>
              </w:rPr>
              <w:t xml:space="preserve">Interest </w:t>
            </w:r>
            <w:r w:rsidRPr="00DD1F38">
              <w:rPr>
                <w:rFonts w:ascii="Verdana" w:hAnsi="Verdana"/>
                <w:sz w:val="20"/>
                <w:szCs w:val="20"/>
              </w:rPr>
              <w:t>(интерес)</w:t>
            </w:r>
          </w:p>
        </w:tc>
      </w:tr>
      <w:tr w:rsidR="00DD1F38" w:rsidRPr="00DD1F38" w:rsidTr="00DD1F38">
        <w:trPr>
          <w:trHeight w:val="267"/>
          <w:jc w:val="center"/>
        </w:trPr>
        <w:tc>
          <w:tcPr>
            <w:tcW w:w="7018" w:type="dxa"/>
            <w:gridSpan w:val="2"/>
            <w:tcBorders>
              <w:bottom w:val="single" w:sz="4" w:space="0" w:color="auto"/>
            </w:tcBorders>
          </w:tcPr>
          <w:p w:rsidR="00DD1F38" w:rsidRPr="00DD1F38" w:rsidRDefault="00DD1F38" w:rsidP="00DD1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D1F38">
              <w:rPr>
                <w:rFonts w:ascii="Verdana" w:hAnsi="Verdana"/>
                <w:b/>
                <w:sz w:val="20"/>
                <w:szCs w:val="20"/>
              </w:rPr>
              <w:t xml:space="preserve">Desire </w:t>
            </w:r>
            <w:r w:rsidRPr="00DD1F38">
              <w:rPr>
                <w:rFonts w:ascii="Verdana" w:hAnsi="Verdana"/>
                <w:sz w:val="20"/>
                <w:szCs w:val="20"/>
              </w:rPr>
              <w:t>(желание)</w:t>
            </w:r>
          </w:p>
        </w:tc>
      </w:tr>
      <w:tr w:rsidR="00DD1F38" w:rsidRPr="00DD1F38" w:rsidTr="00DD1F38">
        <w:trPr>
          <w:trHeight w:val="267"/>
          <w:jc w:val="center"/>
        </w:trPr>
        <w:tc>
          <w:tcPr>
            <w:tcW w:w="3417" w:type="dxa"/>
            <w:shd w:val="clear" w:color="auto" w:fill="auto"/>
          </w:tcPr>
          <w:p w:rsidR="00DD1F38" w:rsidRPr="00DD1F38" w:rsidRDefault="00DD1F38">
            <w:pPr>
              <w:rPr>
                <w:rFonts w:ascii="Verdana" w:hAnsi="Verdana"/>
                <w:b/>
                <w:sz w:val="20"/>
                <w:szCs w:val="20"/>
              </w:rPr>
            </w:pPr>
            <w:r w:rsidRPr="00DD1F38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Dissonance </w:t>
            </w:r>
            <w:r w:rsidRPr="00DD1F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DD1F38">
              <w:rPr>
                <w:rFonts w:ascii="Verdana" w:hAnsi="Verdana"/>
                <w:sz w:val="20"/>
                <w:szCs w:val="20"/>
              </w:rPr>
              <w:t>противоречие)</w:t>
            </w:r>
          </w:p>
        </w:tc>
        <w:tc>
          <w:tcPr>
            <w:tcW w:w="3601" w:type="dxa"/>
            <w:shd w:val="clear" w:color="auto" w:fill="auto"/>
          </w:tcPr>
          <w:p w:rsidR="00DD1F38" w:rsidRPr="00DD1F38" w:rsidRDefault="00DD1F38">
            <w:pPr>
              <w:rPr>
                <w:rFonts w:ascii="Verdana" w:hAnsi="Verdana"/>
                <w:b/>
                <w:sz w:val="20"/>
                <w:szCs w:val="20"/>
              </w:rPr>
            </w:pPr>
            <w:r w:rsidRPr="00DD1F38">
              <w:rPr>
                <w:rFonts w:ascii="Verdana" w:hAnsi="Verdana"/>
                <w:b/>
                <w:sz w:val="20"/>
                <w:szCs w:val="20"/>
              </w:rPr>
              <w:t>Consonance</w:t>
            </w:r>
            <w:r w:rsidRPr="00DD1F38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</w:t>
            </w:r>
            <w:r w:rsidRPr="00DD1F38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DD1F38">
              <w:rPr>
                <w:rFonts w:ascii="Verdana" w:hAnsi="Verdana"/>
                <w:sz w:val="20"/>
                <w:szCs w:val="20"/>
              </w:rPr>
              <w:t>согласование)</w:t>
            </w:r>
          </w:p>
        </w:tc>
      </w:tr>
      <w:tr w:rsidR="00DD1F38" w:rsidRPr="00DD1F38" w:rsidTr="00DD1F38">
        <w:trPr>
          <w:trHeight w:val="267"/>
          <w:jc w:val="center"/>
        </w:trPr>
        <w:tc>
          <w:tcPr>
            <w:tcW w:w="3417" w:type="dxa"/>
          </w:tcPr>
          <w:p w:rsidR="00DD1F38" w:rsidRPr="00DD1F38" w:rsidRDefault="00DD1F38" w:rsidP="00DD1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D1F38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Inaction </w:t>
            </w:r>
            <w:r w:rsidRPr="00DD1F38">
              <w:rPr>
                <w:rFonts w:ascii="Verdana" w:hAnsi="Verdana"/>
                <w:sz w:val="20"/>
                <w:szCs w:val="20"/>
              </w:rPr>
              <w:t>(бездействие)</w:t>
            </w:r>
          </w:p>
        </w:tc>
        <w:tc>
          <w:tcPr>
            <w:tcW w:w="3601" w:type="dxa"/>
          </w:tcPr>
          <w:p w:rsidR="00DD1F38" w:rsidRPr="00DD1F38" w:rsidRDefault="00DD1F38" w:rsidP="00DD1F3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D1F38">
              <w:rPr>
                <w:rFonts w:ascii="Verdana" w:hAnsi="Verdana"/>
                <w:b/>
                <w:sz w:val="20"/>
                <w:szCs w:val="20"/>
              </w:rPr>
              <w:t xml:space="preserve">Action </w:t>
            </w:r>
            <w:r w:rsidRPr="00DD1F38">
              <w:rPr>
                <w:rFonts w:ascii="Verdana" w:hAnsi="Verdana"/>
                <w:sz w:val="20"/>
                <w:szCs w:val="20"/>
              </w:rPr>
              <w:t>(действие)</w:t>
            </w:r>
          </w:p>
        </w:tc>
      </w:tr>
    </w:tbl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Как видно из таблицы, </w:t>
      </w:r>
      <w:r>
        <w:rPr>
          <w:rFonts w:ascii="Verdana" w:hAnsi="Verdana"/>
          <w:b/>
          <w:sz w:val="20"/>
          <w:szCs w:val="20"/>
          <w:lang w:val="en-US"/>
        </w:rPr>
        <w:t>Desire</w:t>
      </w:r>
      <w:r>
        <w:rPr>
          <w:rFonts w:ascii="Verdana" w:hAnsi="Verdana"/>
          <w:sz w:val="20"/>
          <w:szCs w:val="20"/>
        </w:rPr>
        <w:t xml:space="preserve"> (желание) потребителя может перерасти в </w:t>
      </w:r>
      <w:r>
        <w:rPr>
          <w:rFonts w:ascii="Verdana" w:hAnsi="Verdana"/>
          <w:b/>
          <w:sz w:val="20"/>
          <w:szCs w:val="20"/>
          <w:lang w:val="en-US"/>
        </w:rPr>
        <w:t>Action</w:t>
      </w:r>
      <w:r>
        <w:rPr>
          <w:rFonts w:ascii="Verdana" w:hAnsi="Verdana"/>
          <w:sz w:val="20"/>
          <w:szCs w:val="20"/>
        </w:rPr>
        <w:t xml:space="preserve"> (действие) только при условии, если рекламное сообщение содержит некую </w:t>
      </w:r>
      <w:r>
        <w:rPr>
          <w:rFonts w:ascii="Verdana" w:hAnsi="Verdana"/>
          <w:i/>
          <w:sz w:val="20"/>
          <w:szCs w:val="20"/>
        </w:rPr>
        <w:t>консонансную</w:t>
      </w:r>
      <w:r>
        <w:rPr>
          <w:rFonts w:ascii="Verdana" w:hAnsi="Verdana"/>
          <w:sz w:val="20"/>
          <w:szCs w:val="20"/>
        </w:rPr>
        <w:t xml:space="preserve"> информацию (оправдание или доказательство), которая редуцирует внутренний конфликт между «я хочу» и «я не могу себе этого позволить».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Но если реклама не ослабляет этого противоречия, желание (</w:t>
      </w:r>
      <w:r>
        <w:rPr>
          <w:rFonts w:ascii="Verdana" w:hAnsi="Verdana"/>
          <w:sz w:val="20"/>
          <w:szCs w:val="20"/>
          <w:lang w:val="en-US"/>
        </w:rPr>
        <w:t>Desire</w:t>
      </w:r>
      <w:r>
        <w:rPr>
          <w:rFonts w:ascii="Verdana" w:hAnsi="Verdana"/>
          <w:sz w:val="20"/>
          <w:szCs w:val="20"/>
        </w:rPr>
        <w:t>) потребителя, вероятнее всего, угаснет (</w:t>
      </w:r>
      <w:r>
        <w:rPr>
          <w:rFonts w:ascii="Verdana" w:hAnsi="Verdana"/>
          <w:sz w:val="20"/>
          <w:szCs w:val="20"/>
          <w:lang w:val="en-US"/>
        </w:rPr>
        <w:t>Inaction</w:t>
      </w:r>
      <w:r>
        <w:rPr>
          <w:rFonts w:ascii="Verdana" w:hAnsi="Verdana"/>
          <w:sz w:val="20"/>
          <w:szCs w:val="20"/>
        </w:rPr>
        <w:t xml:space="preserve">). Он скажет себе, что «зелен виноград», на том и успокоится.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Сделать это, к слову сказать, намного легче, чем пойти на поводу у своих желаний, так как все свои желания потребитель автоматически соизмеряет со своими возможностями.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И, как правило, не в пользу своих желаний, которые безграничны, а в пользу возможностей, которые строго ограничены.</w:t>
      </w:r>
    </w:p>
    <w:p w:rsidR="00DD1F38" w:rsidRDefault="00DD1F38">
      <w:pPr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Подведем итоги</w:t>
      </w:r>
    </w:p>
    <w:p w:rsidR="00DD1F38" w:rsidRDefault="00DD1F38">
      <w:pPr>
        <w:rPr>
          <w:rFonts w:ascii="Verdana" w:hAnsi="Verdana"/>
          <w:b/>
          <w:sz w:val="28"/>
          <w:szCs w:val="28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Потребитель всегда жаждет купить намного больше товаров, чем он может себе позволить, и это противоречие понуждает его к постоянному редуцированию своих желаний (</w:t>
      </w:r>
      <w:r>
        <w:rPr>
          <w:rFonts w:ascii="Verdana" w:hAnsi="Verdana"/>
          <w:sz w:val="20"/>
          <w:szCs w:val="20"/>
          <w:lang w:val="en-US"/>
        </w:rPr>
        <w:t>Inaction</w:t>
      </w:r>
      <w:r>
        <w:rPr>
          <w:rFonts w:ascii="Verdana" w:hAnsi="Verdana"/>
          <w:sz w:val="20"/>
          <w:szCs w:val="20"/>
        </w:rPr>
        <w:t>).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Желания потребителя опосредуются не столько рекламой, сколько возможностями кошелька. Иначе говоря, чем больше человек допускает мысль о возможности покупки автомобиля, тем больше он интересуется автомобильной рекламой.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Таким образом, фундаментальной причиной потребительского интереса к рекламе является не столько содержание самой рекламы, сколько «содержание» кошелька покупателя.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За исключением редких случаев (таких, как математик Перельман или мудрые учителя дзэн) </w:t>
      </w:r>
      <w:r>
        <w:rPr>
          <w:rFonts w:ascii="Verdana" w:hAnsi="Verdana"/>
          <w:i/>
          <w:sz w:val="20"/>
          <w:szCs w:val="20"/>
        </w:rPr>
        <w:t>мотивация купить товар</w:t>
      </w:r>
      <w:r>
        <w:rPr>
          <w:rFonts w:ascii="Verdana" w:hAnsi="Verdana"/>
          <w:sz w:val="20"/>
          <w:szCs w:val="20"/>
        </w:rPr>
        <w:t xml:space="preserve"> у потребителя всегда намного сильнее, чем мотивация отказать себе в покупке.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Всё дело в том, покупка несёт потребителю немедленную прямую выгоду, а отказ от покупки даёт, в лучшем случае, какие-то опосредованные (и отдаленные во времени) преимущества.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Например, если человек сидит на диете, шоколад обещает ему немедленное удовольствие, а отказ от него – только одну надежду на то, что это как-то поможет ему похудеть.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Как следствие, редуцировать когницию «не могу себе этого позволить» намного легче, чем редуцировать когницию «хочу». 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Это означает, например, что табачная реклама всегда будет эффективней рекламы «против курения»: по крайней мере, до тех пор, пока кампании ведутся на равных условиях.</w:t>
      </w:r>
    </w:p>
    <w:p w:rsidR="00DD1F38" w:rsidRDefault="00DD1F38">
      <w:pPr>
        <w:ind w:left="-540"/>
        <w:rPr>
          <w:rFonts w:ascii="Verdana" w:hAnsi="Verdana"/>
          <w:sz w:val="20"/>
          <w:szCs w:val="20"/>
        </w:rPr>
      </w:pPr>
    </w:p>
    <w:p w:rsidR="00DD1F38" w:rsidRPr="00FA18FB" w:rsidRDefault="00DD1F38" w:rsidP="00FA18FB">
      <w:pPr>
        <w:ind w:left="-5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Когнитивный диссонанс мотивирует человека к поиску новых знаний, которые помогут ему разрешить внутренний конфликт. Учитывая при этом, что потребитель больше мотивирован покупать, чем отказываться от покупок, можно предполагать, что реклама должна не только продавать, но и </w:t>
      </w:r>
      <w:r>
        <w:rPr>
          <w:rFonts w:ascii="Verdana" w:hAnsi="Verdana"/>
          <w:i/>
          <w:sz w:val="20"/>
          <w:szCs w:val="20"/>
        </w:rPr>
        <w:t>оправдывать</w:t>
      </w:r>
      <w:r>
        <w:rPr>
          <w:rFonts w:ascii="Verdana" w:hAnsi="Verdana"/>
          <w:sz w:val="20"/>
          <w:szCs w:val="20"/>
        </w:rPr>
        <w:t xml:space="preserve"> приобретение товара. </w:t>
      </w:r>
    </w:p>
    <w:sectPr w:rsidR="00DD1F38" w:rsidRPr="00FA18F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B9B"/>
    <w:multiLevelType w:val="hybridMultilevel"/>
    <w:tmpl w:val="0406947E"/>
    <w:lvl w:ilvl="0" w:tplc="B06C8F32"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>
    <w:nsid w:val="0C9A206D"/>
    <w:multiLevelType w:val="hybridMultilevel"/>
    <w:tmpl w:val="A7E0DF8E"/>
    <w:lvl w:ilvl="0" w:tplc="BD887BD8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2FD34A1"/>
    <w:multiLevelType w:val="hybridMultilevel"/>
    <w:tmpl w:val="907A0E8E"/>
    <w:lvl w:ilvl="0" w:tplc="5C1617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34240F4A"/>
    <w:multiLevelType w:val="hybridMultilevel"/>
    <w:tmpl w:val="F07691BA"/>
    <w:lvl w:ilvl="0" w:tplc="19AC4516">
      <w:start w:val="1"/>
      <w:numFmt w:val="decimalZero"/>
      <w:lvlText w:val="%1."/>
      <w:lvlJc w:val="left"/>
      <w:pPr>
        <w:tabs>
          <w:tab w:val="num" w:pos="-60"/>
        </w:tabs>
        <w:ind w:left="-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46C53D1D"/>
    <w:multiLevelType w:val="hybridMultilevel"/>
    <w:tmpl w:val="6D98DFAA"/>
    <w:lvl w:ilvl="0" w:tplc="96B4F8C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472B04E9"/>
    <w:multiLevelType w:val="hybridMultilevel"/>
    <w:tmpl w:val="CEDC4EF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975816"/>
    <w:multiLevelType w:val="hybridMultilevel"/>
    <w:tmpl w:val="207EF004"/>
    <w:lvl w:ilvl="0" w:tplc="4FC241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21A56A9"/>
    <w:multiLevelType w:val="hybridMultilevel"/>
    <w:tmpl w:val="BA303350"/>
    <w:lvl w:ilvl="0" w:tplc="04190001">
      <w:start w:val="130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8EA3174"/>
    <w:multiLevelType w:val="hybridMultilevel"/>
    <w:tmpl w:val="D49ABB68"/>
    <w:lvl w:ilvl="0" w:tplc="9F34064C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9">
    <w:nsid w:val="781763AF"/>
    <w:multiLevelType w:val="hybridMultilevel"/>
    <w:tmpl w:val="C476599A"/>
    <w:lvl w:ilvl="0" w:tplc="0728F886">
      <w:start w:val="4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0">
    <w:nsid w:val="7C1806E4"/>
    <w:multiLevelType w:val="hybridMultilevel"/>
    <w:tmpl w:val="9FE463A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compat/>
  <w:rsids>
    <w:rsidRoot w:val="00FA18FB"/>
    <w:rsid w:val="00845CFA"/>
    <w:rsid w:val="00D3117D"/>
    <w:rsid w:val="00DD1F38"/>
    <w:rsid w:val="00FA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,#ff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a4">
    <w:name w:val="Hyperlink"/>
    <w:basedOn w:val="a0"/>
    <w:rPr>
      <w:b/>
      <w:bCs/>
      <w:strike w:val="0"/>
      <w:dstrike w:val="0"/>
      <w:color w:val="336699"/>
      <w:u w:val="none"/>
      <w:effect w:val="none"/>
    </w:rPr>
  </w:style>
  <w:style w:type="character" w:styleId="a5">
    <w:name w:val="Strong"/>
    <w:basedOn w:val="a0"/>
    <w:qFormat/>
    <w:rPr>
      <w:b/>
      <w:bCs/>
    </w:rPr>
  </w:style>
  <w:style w:type="table" w:styleId="a6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pPr>
      <w:jc w:val="both"/>
    </w:pPr>
  </w:style>
  <w:style w:type="character" w:customStyle="1" w:styleId="headline1">
    <w:name w:val="headline1"/>
    <w:basedOn w:val="a0"/>
    <w:rPr>
      <w:rFonts w:ascii="Verdana" w:hAnsi="Verdana" w:hint="default"/>
      <w:b/>
      <w:bCs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0211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3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5219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beri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Внимание, интерес, желание и бездействие</vt:lpstr>
    </vt:vector>
  </TitlesOfParts>
  <Company>Psyberia.ru</Company>
  <LinksUpToDate>false</LinksUpToDate>
  <CharactersWithSpaces>11565</CharactersWithSpaces>
  <SharedDoc>false</SharedDoc>
  <HLinks>
    <vt:vector size="6" baseType="variant"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https://psyberia.ru/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Внимание, интерес, желание и бездействие</dc:title>
  <dc:creator>Вит Ценёв</dc:creator>
  <cp:lastModifiedBy>Master</cp:lastModifiedBy>
  <cp:revision>2</cp:revision>
  <cp:lastPrinted>2007-04-02T20:50:00Z</cp:lastPrinted>
  <dcterms:created xsi:type="dcterms:W3CDTF">2026-08-18T18:20:00Z</dcterms:created>
  <dcterms:modified xsi:type="dcterms:W3CDTF">2026-08-18T18:20:00Z</dcterms:modified>
  <cp:category>Продвинутая психология для совершеннолетних</cp:category>
</cp:coreProperties>
</file>